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C628A" w14:textId="77777777" w:rsidR="007B3D08" w:rsidRDefault="007B3D08">
      <w:pPr>
        <w:widowControl/>
        <w:jc w:val="center"/>
        <w:rPr>
          <w:rFonts w:ascii="@MingLiU" w:eastAsia="@MingLiU" w:cs="@MingLiU"/>
          <w:b/>
          <w:bCs/>
          <w:sz w:val="32"/>
          <w:szCs w:val="32"/>
        </w:rPr>
      </w:pPr>
      <w:r>
        <w:rPr>
          <w:rFonts w:ascii="@MingLiU" w:eastAsia="@MingLiU" w:cs="@MingLiU"/>
          <w:b/>
          <w:bCs/>
          <w:sz w:val="32"/>
          <w:szCs w:val="32"/>
        </w:rPr>
        <w:t>OFFICER, AM I UNDER ARREST OR AM I FREE TO LEAVE?</w:t>
      </w:r>
    </w:p>
    <w:p w14:paraId="330D1BC1" w14:textId="77777777" w:rsidR="007B3D08" w:rsidRDefault="007B3D08">
      <w:pPr>
        <w:widowControl/>
        <w:jc w:val="center"/>
        <w:rPr>
          <w:rFonts w:ascii="@MingLiU" w:eastAsia="@MingLiU" w:cs="@MingLiU"/>
          <w:b/>
          <w:bCs/>
          <w:sz w:val="32"/>
          <w:szCs w:val="32"/>
        </w:rPr>
      </w:pPr>
      <w:r>
        <w:rPr>
          <w:rFonts w:ascii="@MingLiU" w:eastAsia="@MingLiU" w:cs="@MingLiU"/>
          <w:b/>
          <w:bCs/>
          <w:sz w:val="32"/>
          <w:szCs w:val="32"/>
        </w:rPr>
        <w:t>WASHINGTON LAW HOLDS THAT IF I AM NOT FREE TO</w:t>
      </w:r>
    </w:p>
    <w:p w14:paraId="18EE89DE" w14:textId="77777777" w:rsidR="007B3D08" w:rsidRDefault="007B3D08">
      <w:pPr>
        <w:widowControl/>
        <w:jc w:val="center"/>
        <w:rPr>
          <w:rFonts w:ascii="@MingLiU" w:eastAsia="@MingLiU" w:cs="@MingLiU"/>
          <w:b/>
          <w:bCs/>
          <w:u w:val="single"/>
        </w:rPr>
      </w:pPr>
      <w:r>
        <w:rPr>
          <w:rFonts w:ascii="@MingLiU" w:eastAsia="@MingLiU" w:cs="@MingLiU"/>
          <w:b/>
          <w:bCs/>
          <w:sz w:val="32"/>
          <w:szCs w:val="32"/>
        </w:rPr>
        <w:t>LEAVE, THEN I AM UNDER ARREST!</w:t>
      </w:r>
    </w:p>
    <w:p w14:paraId="122BB975" w14:textId="77777777" w:rsidR="007B3D08" w:rsidRDefault="007B3D08">
      <w:pPr>
        <w:widowControl/>
        <w:rPr>
          <w:rFonts w:ascii="@MingLiU" w:eastAsia="@MingLiU" w:cs="@MingLiU"/>
          <w:b/>
          <w:bCs/>
          <w:u w:val="single"/>
        </w:rPr>
      </w:pPr>
    </w:p>
    <w:p w14:paraId="32766CA3" w14:textId="77777777" w:rsidR="007B3D08" w:rsidRDefault="007B3D08">
      <w:pPr>
        <w:widowControl/>
        <w:rPr>
          <w:rFonts w:ascii="@MingLiU" w:eastAsia="@MingLiU" w:cs="@MingLiU"/>
          <w:b/>
          <w:bCs/>
          <w:u w:val="single"/>
        </w:rPr>
      </w:pPr>
    </w:p>
    <w:p w14:paraId="0432665C" w14:textId="77777777" w:rsidR="007B3D08" w:rsidRDefault="007B3D08">
      <w:pPr>
        <w:widowControl/>
        <w:spacing w:line="480" w:lineRule="auto"/>
        <w:ind w:firstLine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</w:rPr>
        <w:t xml:space="preserve">Do NOT tell me that I am NOT under </w:t>
      </w:r>
      <w:r>
        <w:rPr>
          <w:rFonts w:ascii="@MingLiU" w:eastAsia="@MingLiU" w:cs="@MingLiU"/>
        </w:rPr>
        <w:t>“</w:t>
      </w:r>
      <w:r>
        <w:rPr>
          <w:rFonts w:ascii="@MingLiU" w:eastAsia="@MingLiU" w:cs="@MingLiU"/>
        </w:rPr>
        <w:t>arrest</w:t>
      </w:r>
      <w:r>
        <w:rPr>
          <w:rFonts w:ascii="@MingLiU" w:eastAsia="@MingLiU" w:cs="@MingLiU"/>
        </w:rPr>
        <w:t>”</w:t>
      </w:r>
      <w:r>
        <w:rPr>
          <w:rFonts w:ascii="@MingLiU" w:eastAsia="@MingLiU" w:cs="@MingLiU"/>
        </w:rPr>
        <w:t xml:space="preserve"> and that I am merely being </w:t>
      </w:r>
      <w:r>
        <w:rPr>
          <w:rFonts w:ascii="@MingLiU" w:eastAsia="@MingLiU" w:cs="@MingLiU"/>
        </w:rPr>
        <w:t>“</w:t>
      </w:r>
      <w:r>
        <w:rPr>
          <w:rFonts w:ascii="@MingLiU" w:eastAsia="@MingLiU" w:cs="@MingLiU"/>
        </w:rPr>
        <w:t>detained</w:t>
      </w:r>
      <w:r>
        <w:rPr>
          <w:rFonts w:ascii="@MingLiU" w:eastAsia="@MingLiU" w:cs="@MingLiU"/>
        </w:rPr>
        <w:t>”</w:t>
      </w:r>
      <w:r>
        <w:rPr>
          <w:rFonts w:ascii="@MingLiU" w:eastAsia="@MingLiU" w:cs="@MingLiU"/>
        </w:rPr>
        <w:t xml:space="preserve"> because the word </w:t>
      </w:r>
      <w:r>
        <w:rPr>
          <w:rFonts w:ascii="@MingLiU" w:eastAsia="@MingLiU" w:cs="@MingLiU"/>
        </w:rPr>
        <w:t>“</w:t>
      </w:r>
      <w:r>
        <w:rPr>
          <w:rFonts w:ascii="@MingLiU" w:eastAsia="@MingLiU" w:cs="@MingLiU"/>
        </w:rPr>
        <w:t>arrest</w:t>
      </w:r>
      <w:r>
        <w:rPr>
          <w:rFonts w:ascii="@MingLiU" w:eastAsia="@MingLiU" w:cs="@MingLiU"/>
        </w:rPr>
        <w:t>”</w:t>
      </w:r>
      <w:r>
        <w:rPr>
          <w:rFonts w:ascii="@MingLiU" w:eastAsia="@MingLiU" w:cs="@MingLiU"/>
        </w:rPr>
        <w:t xml:space="preserve"> is used to define the word </w:t>
      </w:r>
      <w:r>
        <w:rPr>
          <w:rFonts w:ascii="@MingLiU" w:eastAsia="@MingLiU" w:cs="@MingLiU"/>
        </w:rPr>
        <w:t>“</w:t>
      </w:r>
      <w:r>
        <w:rPr>
          <w:rFonts w:ascii="@MingLiU" w:eastAsia="@MingLiU" w:cs="@MingLiU"/>
        </w:rPr>
        <w:t>detain</w:t>
      </w:r>
      <w:r>
        <w:rPr>
          <w:rFonts w:ascii="@MingLiU" w:eastAsia="@MingLiU" w:cs="@MingLiU"/>
        </w:rPr>
        <w:t>”</w:t>
      </w:r>
      <w:r>
        <w:rPr>
          <w:rFonts w:ascii="@MingLiU" w:eastAsia="@MingLiU" w:cs="@MingLiU"/>
        </w:rPr>
        <w:t xml:space="preserve"> to wit:</w:t>
      </w:r>
    </w:p>
    <w:p w14:paraId="1C8D934B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b/>
          <w:bCs/>
          <w:sz w:val="20"/>
          <w:szCs w:val="20"/>
        </w:rPr>
        <w:t xml:space="preserve">Detain.  </w:t>
      </w:r>
      <w:r>
        <w:rPr>
          <w:rFonts w:ascii="@MingLiU" w:eastAsia="@MingLiU" w:cs="@MingLiU"/>
          <w:sz w:val="20"/>
          <w:szCs w:val="20"/>
        </w:rPr>
        <w:t xml:space="preserve">To retain as the possession of </w:t>
      </w:r>
      <w:proofErr w:type="spellStart"/>
      <w:r>
        <w:rPr>
          <w:rFonts w:ascii="@MingLiU" w:eastAsia="@MingLiU" w:cs="@MingLiU"/>
          <w:sz w:val="20"/>
          <w:szCs w:val="20"/>
        </w:rPr>
        <w:t>personalty</w:t>
      </w:r>
      <w:proofErr w:type="spellEnd"/>
      <w:r>
        <w:rPr>
          <w:rFonts w:ascii="@MingLiU" w:eastAsia="@MingLiU" w:cs="@MingLiU"/>
          <w:sz w:val="20"/>
          <w:szCs w:val="20"/>
        </w:rPr>
        <w:t xml:space="preserve">, </w:t>
      </w:r>
      <w:proofErr w:type="gramStart"/>
      <w:r>
        <w:rPr>
          <w:rFonts w:ascii="@MingLiU" w:eastAsia="@MingLiU" w:cs="@MingLiU"/>
          <w:b/>
          <w:bCs/>
          <w:sz w:val="20"/>
          <w:szCs w:val="20"/>
        </w:rPr>
        <w:t>To</w:t>
      </w:r>
      <w:proofErr w:type="gramEnd"/>
      <w:r>
        <w:rPr>
          <w:rFonts w:ascii="@MingLiU" w:eastAsia="@MingLiU" w:cs="@MingLiU"/>
          <w:b/>
          <w:bCs/>
          <w:sz w:val="20"/>
          <w:szCs w:val="20"/>
        </w:rPr>
        <w:t xml:space="preserve"> arrest</w:t>
      </w:r>
      <w:r>
        <w:rPr>
          <w:rFonts w:ascii="@MingLiU" w:eastAsia="@MingLiU" w:cs="@MingLiU"/>
          <w:sz w:val="20"/>
          <w:szCs w:val="20"/>
        </w:rPr>
        <w:t xml:space="preserve">, to check, to delay, to hinder,  to hold, </w:t>
      </w:r>
      <w:r>
        <w:rPr>
          <w:rFonts w:ascii="@MingLiU" w:eastAsia="@MingLiU" w:cs="@MingLiU"/>
          <w:b/>
          <w:bCs/>
          <w:sz w:val="20"/>
          <w:szCs w:val="20"/>
        </w:rPr>
        <w:t>or keep in custody</w:t>
      </w:r>
      <w:r>
        <w:rPr>
          <w:rFonts w:ascii="@MingLiU" w:eastAsia="@MingLiU" w:cs="@MingLiU"/>
          <w:sz w:val="20"/>
          <w:szCs w:val="20"/>
        </w:rPr>
        <w:t xml:space="preserve">, to retard, </w:t>
      </w:r>
      <w:r>
        <w:rPr>
          <w:rFonts w:ascii="@MingLiU" w:eastAsia="@MingLiU" w:cs="@MingLiU"/>
          <w:b/>
          <w:bCs/>
          <w:sz w:val="20"/>
          <w:szCs w:val="20"/>
        </w:rPr>
        <w:t xml:space="preserve">to restrain from proceeding, to stay, to stop. </w:t>
      </w:r>
      <w:r>
        <w:rPr>
          <w:rFonts w:ascii="@MingLiU" w:eastAsia="@MingLiU" w:cs="@MingLiU"/>
          <w:sz w:val="20"/>
          <w:szCs w:val="20"/>
        </w:rPr>
        <w:t xml:space="preserve"> People v. Smith, 17 Cal.App.2d 468, 62 P.2d 436, 438; State v. King, 303 S.W.2d 930, 934.  See Confinement; Custody.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proofErr w:type="spellStart"/>
      <w:r>
        <w:rPr>
          <w:rFonts w:ascii="@MingLiU" w:eastAsia="@MingLiU" w:cs="@MingLiU"/>
          <w:sz w:val="20"/>
          <w:szCs w:val="20"/>
          <w:u w:val="single"/>
        </w:rPr>
        <w:t>Blacks</w:t>
      </w:r>
      <w:proofErr w:type="spellEnd"/>
      <w:r>
        <w:rPr>
          <w:rFonts w:ascii="@MingLiU" w:eastAsia="@MingLiU" w:cs="@MingLiU"/>
          <w:sz w:val="20"/>
          <w:szCs w:val="20"/>
          <w:u w:val="single"/>
        </w:rPr>
        <w:t xml:space="preserve"> Law Dictionary</w:t>
      </w:r>
      <w:r>
        <w:rPr>
          <w:rFonts w:ascii="@MingLiU" w:eastAsia="@MingLiU" w:cs="@MingLiU"/>
          <w:sz w:val="20"/>
          <w:szCs w:val="20"/>
        </w:rPr>
        <w:t>, Fifth Edition at page 404.</w:t>
      </w:r>
    </w:p>
    <w:p w14:paraId="7E585CBD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@MingLiU" w:eastAsia="@MingLiU" w:cs="@MingLiU"/>
        </w:rPr>
      </w:pPr>
    </w:p>
    <w:p w14:paraId="1EEABD37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firstLine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</w:rPr>
        <w:t xml:space="preserve">Washington </w:t>
      </w:r>
      <w:proofErr w:type="spellStart"/>
      <w:r>
        <w:rPr>
          <w:rFonts w:ascii="@MingLiU" w:eastAsia="@MingLiU" w:cs="@MingLiU"/>
        </w:rPr>
        <w:t>Court</w:t>
      </w:r>
      <w:r>
        <w:rPr>
          <w:rFonts w:ascii="@MingLiU" w:eastAsia="@MingLiU" w:cs="@MingLiU"/>
        </w:rPr>
        <w:t>’</w:t>
      </w:r>
      <w:r>
        <w:rPr>
          <w:rFonts w:ascii="@MingLiU" w:eastAsia="@MingLiU" w:cs="@MingLiU"/>
        </w:rPr>
        <w:t>s</w:t>
      </w:r>
      <w:proofErr w:type="spellEnd"/>
      <w:r>
        <w:rPr>
          <w:rFonts w:ascii="@MingLiU" w:eastAsia="@MingLiU" w:cs="@MingLiU"/>
        </w:rPr>
        <w:t xml:space="preserve"> have consistently held that once you turn on your lights and stop me,  that you have invoked a seizure, that I am not free to leave and that I am under arrest to wit:</w:t>
      </w:r>
    </w:p>
    <w:p w14:paraId="2E69B8E1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/>
        <w:jc w:val="both"/>
        <w:rPr>
          <w:rFonts w:ascii="@MingLiU" w:eastAsia="@MingLiU" w:cs="@MingLiU"/>
          <w:sz w:val="20"/>
          <w:szCs w:val="20"/>
        </w:rPr>
      </w:pPr>
      <w:r>
        <w:rPr>
          <w:rFonts w:ascii="@MingLiU" w:eastAsia="@MingLiU" w:cs="@MingLiU"/>
          <w:b/>
          <w:bCs/>
          <w:sz w:val="20"/>
          <w:szCs w:val="20"/>
        </w:rPr>
        <w:t>“</w:t>
      </w:r>
      <w:r>
        <w:rPr>
          <w:rFonts w:ascii="@MingLiU" w:eastAsia="@MingLiU" w:cs="@MingLiU"/>
          <w:b/>
          <w:bCs/>
          <w:sz w:val="20"/>
          <w:szCs w:val="20"/>
        </w:rPr>
        <w:t>A motorist is seized when a police officer pulls up behind his car and activates full emergency lights.</w:t>
      </w:r>
      <w:r>
        <w:rPr>
          <w:rFonts w:ascii="@MingLiU" w:eastAsia="@MingLiU" w:cs="@MingLiU"/>
          <w:b/>
          <w:bCs/>
          <w:sz w:val="20"/>
          <w:szCs w:val="20"/>
        </w:rPr>
        <w:t>”</w:t>
      </w:r>
      <w:r>
        <w:rPr>
          <w:rFonts w:ascii="@MingLiU" w:eastAsia="@MingLiU" w:cs="@MingLiU"/>
          <w:b/>
          <w:bCs/>
          <w:sz w:val="20"/>
          <w:szCs w:val="20"/>
        </w:rPr>
        <w:t xml:space="preserve">  </w:t>
      </w:r>
      <w:r>
        <w:rPr>
          <w:rFonts w:ascii="@MingLiU" w:eastAsia="@MingLiU" w:cs="@MingLiU"/>
          <w:b/>
          <w:bCs/>
          <w:sz w:val="20"/>
          <w:szCs w:val="20"/>
          <w:u w:val="single"/>
        </w:rPr>
        <w:t xml:space="preserve">State v. </w:t>
      </w:r>
      <w:proofErr w:type="spellStart"/>
      <w:r>
        <w:rPr>
          <w:rFonts w:ascii="@MingLiU" w:eastAsia="@MingLiU" w:cs="@MingLiU"/>
          <w:b/>
          <w:bCs/>
          <w:sz w:val="20"/>
          <w:szCs w:val="20"/>
          <w:u w:val="single"/>
        </w:rPr>
        <w:t>DeArman</w:t>
      </w:r>
      <w:proofErr w:type="spellEnd"/>
      <w:r>
        <w:rPr>
          <w:rFonts w:ascii="@MingLiU" w:eastAsia="@MingLiU" w:cs="@MingLiU"/>
          <w:b/>
          <w:bCs/>
          <w:sz w:val="20"/>
          <w:szCs w:val="20"/>
        </w:rPr>
        <w:t xml:space="preserve">,  54 </w:t>
      </w:r>
      <w:proofErr w:type="spellStart"/>
      <w:r>
        <w:rPr>
          <w:rFonts w:ascii="@MingLiU" w:eastAsia="@MingLiU" w:cs="@MingLiU"/>
          <w:b/>
          <w:bCs/>
          <w:sz w:val="20"/>
          <w:szCs w:val="20"/>
        </w:rPr>
        <w:t>Wn</w:t>
      </w:r>
      <w:proofErr w:type="spellEnd"/>
      <w:r>
        <w:rPr>
          <w:rFonts w:ascii="@MingLiU" w:eastAsia="@MingLiU" w:cs="@MingLiU"/>
          <w:b/>
          <w:bCs/>
          <w:sz w:val="20"/>
          <w:szCs w:val="20"/>
        </w:rPr>
        <w:t>. App. 621,  624,  774 P.2d 1247 (1989)</w:t>
      </w:r>
      <w:r>
        <w:rPr>
          <w:rFonts w:ascii="@MingLiU" w:eastAsia="@MingLiU" w:cs="@MingLiU"/>
          <w:sz w:val="20"/>
          <w:szCs w:val="20"/>
        </w:rPr>
        <w:t>.</w:t>
      </w:r>
    </w:p>
    <w:p w14:paraId="28E657AC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@MingLiU" w:eastAsia="@MingLiU" w:cs="@MingLiU"/>
          <w:sz w:val="20"/>
          <w:szCs w:val="20"/>
        </w:rPr>
      </w:pPr>
    </w:p>
    <w:p w14:paraId="27BE2359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720"/>
        <w:jc w:val="both"/>
        <w:rPr>
          <w:rFonts w:ascii="@MingLiU" w:eastAsia="@MingLiU" w:cs="@MingLiU"/>
          <w:sz w:val="20"/>
          <w:szCs w:val="20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Under the totality of the circumstances, the officers</w:t>
      </w:r>
      <w:r>
        <w:rPr>
          <w:rFonts w:ascii="@MingLiU" w:eastAsia="@MingLiU" w:cs="@MingLiU"/>
          <w:sz w:val="20"/>
          <w:szCs w:val="20"/>
        </w:rPr>
        <w:t>’</w:t>
      </w:r>
      <w:r>
        <w:rPr>
          <w:rFonts w:ascii="@MingLiU" w:eastAsia="@MingLiU" w:cs="@MingLiU"/>
          <w:sz w:val="20"/>
          <w:szCs w:val="20"/>
        </w:rPr>
        <w:t xml:space="preserve"> attempt to summon the occupants of the parked car with both their emergency lights and high beam headlights constituted a show of authority sufficient to convey to any reasonable person that voluntary departure from the scene was not a reasonable alternative.  Cf. United States v. Palmer, 603 F.2d 1286, 1289 (8</w:t>
      </w:r>
      <w:r>
        <w:rPr>
          <w:rFonts w:ascii="@MingLiU" w:eastAsia="@MingLiU" w:cs="@MingLiU"/>
          <w:sz w:val="20"/>
          <w:szCs w:val="20"/>
          <w:vertAlign w:val="superscript"/>
        </w:rPr>
        <w:t>th</w:t>
      </w:r>
      <w:r>
        <w:rPr>
          <w:rFonts w:ascii="@MingLiU" w:eastAsia="@MingLiU" w:cs="@MingLiU"/>
          <w:sz w:val="20"/>
          <w:szCs w:val="20"/>
        </w:rPr>
        <w:t xml:space="preserve"> Cir. 1979).  In the present case, however, </w:t>
      </w:r>
      <w:r>
        <w:rPr>
          <w:rFonts w:ascii="@MingLiU" w:eastAsia="@MingLiU" w:cs="@MingLiU"/>
          <w:b/>
          <w:bCs/>
          <w:sz w:val="20"/>
          <w:szCs w:val="20"/>
        </w:rPr>
        <w:t xml:space="preserve">we conclude that Stroud was </w:t>
      </w:r>
      <w:r>
        <w:rPr>
          <w:rFonts w:ascii="@MingLiU" w:eastAsia="@MingLiU" w:cs="@MingLiU"/>
          <w:b/>
          <w:bCs/>
          <w:sz w:val="20"/>
          <w:szCs w:val="20"/>
        </w:rPr>
        <w:t>“</w:t>
      </w:r>
      <w:r>
        <w:rPr>
          <w:rFonts w:ascii="@MingLiU" w:eastAsia="@MingLiU" w:cs="@MingLiU"/>
          <w:b/>
          <w:bCs/>
          <w:sz w:val="20"/>
          <w:szCs w:val="20"/>
        </w:rPr>
        <w:t>seized</w:t>
      </w:r>
      <w:r>
        <w:rPr>
          <w:rFonts w:ascii="@MingLiU" w:eastAsia="@MingLiU" w:cs="@MingLiU"/>
          <w:b/>
          <w:bCs/>
          <w:sz w:val="20"/>
          <w:szCs w:val="20"/>
        </w:rPr>
        <w:t>”</w:t>
      </w:r>
      <w:r>
        <w:rPr>
          <w:rFonts w:ascii="@MingLiU" w:eastAsia="@MingLiU" w:cs="@MingLiU"/>
          <w:b/>
          <w:bCs/>
          <w:sz w:val="20"/>
          <w:szCs w:val="20"/>
        </w:rPr>
        <w:t>, for Fourth Amendment purposes, at the moment the officers pulled up behind the parked vehicle and switched on the flashing light</w:t>
      </w:r>
      <w:r>
        <w:rPr>
          <w:rFonts w:ascii="@MingLiU" w:eastAsia="@MingLiU" w:cs="@MingLiU"/>
          <w:sz w:val="20"/>
          <w:szCs w:val="20"/>
        </w:rPr>
        <w:t>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r>
        <w:rPr>
          <w:rFonts w:ascii="@MingLiU" w:eastAsia="@MingLiU" w:cs="@MingLiU"/>
          <w:sz w:val="20"/>
          <w:szCs w:val="20"/>
          <w:u w:val="single"/>
        </w:rPr>
        <w:t>State v. Stroud</w:t>
      </w:r>
      <w:r>
        <w:rPr>
          <w:rFonts w:ascii="@MingLiU" w:eastAsia="@MingLiU" w:cs="@MingLiU"/>
          <w:sz w:val="20"/>
          <w:szCs w:val="20"/>
        </w:rPr>
        <w:t xml:space="preserve">, 30 </w:t>
      </w:r>
      <w:proofErr w:type="spellStart"/>
      <w:r>
        <w:rPr>
          <w:rFonts w:ascii="@MingLiU" w:eastAsia="@MingLiU" w:cs="@MingLiU"/>
          <w:sz w:val="20"/>
          <w:szCs w:val="20"/>
        </w:rPr>
        <w:t>Wn.App</w:t>
      </w:r>
      <w:proofErr w:type="spellEnd"/>
      <w:r>
        <w:rPr>
          <w:rFonts w:ascii="@MingLiU" w:eastAsia="@MingLiU" w:cs="@MingLiU"/>
          <w:sz w:val="20"/>
          <w:szCs w:val="20"/>
        </w:rPr>
        <w:t>. 392 (1981).</w:t>
      </w:r>
    </w:p>
    <w:p w14:paraId="445EDA35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@MingLiU" w:eastAsia="@MingLiU" w:cs="@MingLiU"/>
          <w:sz w:val="20"/>
          <w:szCs w:val="20"/>
        </w:rPr>
      </w:pPr>
    </w:p>
    <w:p w14:paraId="05E60B09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ind w:left="702" w:right="720"/>
        <w:jc w:val="both"/>
        <w:rPr>
          <w:rFonts w:ascii="@MingLiU" w:eastAsia="@MingLiU" w:cs="@MingLiU"/>
          <w:sz w:val="20"/>
          <w:szCs w:val="20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 xml:space="preserve">A person is </w:t>
      </w: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seized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within the meaning of the Fourth Amendment only when,  in light of all the surrounding circumstances,  a reasonable person would believe that he or she was not free to leave.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r>
        <w:rPr>
          <w:rFonts w:ascii="@MingLiU" w:eastAsia="@MingLiU" w:cs="@MingLiU"/>
          <w:sz w:val="20"/>
          <w:szCs w:val="20"/>
          <w:u w:val="single"/>
        </w:rPr>
        <w:t>United States v. Mendenhall</w:t>
      </w:r>
      <w:r>
        <w:rPr>
          <w:rFonts w:ascii="@MingLiU" w:eastAsia="@MingLiU" w:cs="@MingLiU"/>
          <w:sz w:val="20"/>
          <w:szCs w:val="20"/>
        </w:rPr>
        <w:t xml:space="preserve">,  446 U.S. 544,  554 100 </w:t>
      </w:r>
      <w:proofErr w:type="spellStart"/>
      <w:r>
        <w:rPr>
          <w:rFonts w:ascii="@MingLiU" w:eastAsia="@MingLiU" w:cs="@MingLiU"/>
          <w:sz w:val="20"/>
          <w:szCs w:val="20"/>
        </w:rPr>
        <w:t>S.Ct</w:t>
      </w:r>
      <w:proofErr w:type="spellEnd"/>
      <w:r>
        <w:rPr>
          <w:rFonts w:ascii="@MingLiU" w:eastAsia="@MingLiU" w:cs="@MingLiU"/>
          <w:sz w:val="20"/>
          <w:szCs w:val="20"/>
        </w:rPr>
        <w:t xml:space="preserve"> 1870,  64 Led. 2d 497 (1980);  </w:t>
      </w:r>
      <w:r>
        <w:rPr>
          <w:rFonts w:ascii="@MingLiU" w:eastAsia="@MingLiU" w:cs="@MingLiU"/>
          <w:sz w:val="20"/>
          <w:szCs w:val="20"/>
          <w:u w:val="single"/>
        </w:rPr>
        <w:t>State v. Young</w:t>
      </w:r>
      <w:r>
        <w:rPr>
          <w:rFonts w:ascii="@MingLiU" w:eastAsia="@MingLiU" w:cs="@MingLiU"/>
          <w:sz w:val="20"/>
          <w:szCs w:val="20"/>
        </w:rPr>
        <w:t>,  135 Wn.2d 498,  509,  957 P.2d 681 (1998).</w:t>
      </w:r>
    </w:p>
    <w:p w14:paraId="6541FB56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</w:tabs>
        <w:ind w:left="-18"/>
        <w:jc w:val="both"/>
        <w:rPr>
          <w:rFonts w:ascii="@MingLiU" w:eastAsia="@MingLiU" w:cs="@MingLiU"/>
          <w:sz w:val="20"/>
          <w:szCs w:val="20"/>
        </w:rPr>
      </w:pPr>
    </w:p>
    <w:p w14:paraId="2F53EC62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ind w:left="702" w:right="720"/>
        <w:jc w:val="both"/>
        <w:rPr>
          <w:rFonts w:ascii="@MingLiU" w:eastAsia="@MingLiU" w:cs="@MingLiU"/>
          <w:b/>
          <w:bCs/>
          <w:u w:val="single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 xml:space="preserve">Under both state and federal law,  whenever a police officer stops a motorist, he has </w:t>
      </w: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seized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him.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r>
        <w:rPr>
          <w:rFonts w:ascii="@MingLiU" w:eastAsia="@MingLiU" w:cs="@MingLiU"/>
          <w:sz w:val="20"/>
          <w:szCs w:val="20"/>
          <w:u w:val="single"/>
        </w:rPr>
        <w:t xml:space="preserve">State v. </w:t>
      </w:r>
      <w:proofErr w:type="spellStart"/>
      <w:r>
        <w:rPr>
          <w:rFonts w:ascii="@MingLiU" w:eastAsia="@MingLiU" w:cs="@MingLiU"/>
          <w:sz w:val="20"/>
          <w:szCs w:val="20"/>
          <w:u w:val="single"/>
        </w:rPr>
        <w:t>Silvernail</w:t>
      </w:r>
      <w:proofErr w:type="spellEnd"/>
      <w:r>
        <w:rPr>
          <w:rFonts w:ascii="@MingLiU" w:eastAsia="@MingLiU" w:cs="@MingLiU"/>
          <w:sz w:val="20"/>
          <w:szCs w:val="20"/>
        </w:rPr>
        <w:t xml:space="preserve">, 25 </w:t>
      </w:r>
      <w:proofErr w:type="spellStart"/>
      <w:r>
        <w:rPr>
          <w:rFonts w:ascii="@MingLiU" w:eastAsia="@MingLiU" w:cs="@MingLiU"/>
          <w:sz w:val="20"/>
          <w:szCs w:val="20"/>
        </w:rPr>
        <w:t>Wn.App</w:t>
      </w:r>
      <w:proofErr w:type="spellEnd"/>
      <w:r>
        <w:rPr>
          <w:rFonts w:ascii="@MingLiU" w:eastAsia="@MingLiU" w:cs="@MingLiU"/>
          <w:sz w:val="20"/>
          <w:szCs w:val="20"/>
        </w:rPr>
        <w:t>. 185, 605 P.2d 1279 (1980).</w:t>
      </w:r>
    </w:p>
    <w:p w14:paraId="41A032C9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</w:tabs>
        <w:ind w:left="-18"/>
        <w:jc w:val="both"/>
        <w:rPr>
          <w:rFonts w:ascii="@MingLiU" w:eastAsia="@MingLiU" w:cs="@MingLiU"/>
          <w:b/>
          <w:bCs/>
          <w:u w:val="single"/>
        </w:rPr>
      </w:pPr>
    </w:p>
    <w:p w14:paraId="39C911ED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</w:tabs>
        <w:spacing w:line="480" w:lineRule="auto"/>
        <w:ind w:left="-18" w:firstLine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</w:rPr>
        <w:t xml:space="preserve">The Court in </w:t>
      </w:r>
      <w:r>
        <w:rPr>
          <w:rFonts w:ascii="@MingLiU" w:eastAsia="@MingLiU" w:cs="@MingLiU"/>
          <w:u w:val="single"/>
        </w:rPr>
        <w:t>Seattle v. Sage</w:t>
      </w:r>
      <w:r>
        <w:rPr>
          <w:rFonts w:ascii="@MingLiU" w:eastAsia="@MingLiU" w:cs="@MingLiU"/>
        </w:rPr>
        <w:t xml:space="preserve">, 11 </w:t>
      </w:r>
      <w:proofErr w:type="spellStart"/>
      <w:r>
        <w:rPr>
          <w:rFonts w:ascii="@MingLiU" w:eastAsia="@MingLiU" w:cs="@MingLiU"/>
        </w:rPr>
        <w:t>Wn</w:t>
      </w:r>
      <w:proofErr w:type="spellEnd"/>
      <w:r>
        <w:rPr>
          <w:rFonts w:ascii="@MingLiU" w:eastAsia="@MingLiU" w:cs="@MingLiU"/>
        </w:rPr>
        <w:t>. App. 481, at pages 484-485, 523 P.2d 942, rev. denied 84 Wn.2d 1013 (1973), observed:</w:t>
      </w:r>
    </w:p>
    <w:p w14:paraId="71C180D2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ind w:left="702" w:right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b/>
          <w:bCs/>
          <w:sz w:val="20"/>
          <w:szCs w:val="20"/>
        </w:rPr>
        <w:t xml:space="preserve">. . . </w:t>
      </w:r>
      <w:r>
        <w:rPr>
          <w:rFonts w:ascii="@MingLiU" w:eastAsia="@MingLiU" w:cs="@MingLiU"/>
          <w:b/>
          <w:bCs/>
          <w:sz w:val="20"/>
          <w:szCs w:val="20"/>
          <w:u w:val="single"/>
        </w:rPr>
        <w:t>a person is placed under arrest when he is deprived of his liberty by an officer who intends to arrest him</w:t>
      </w:r>
      <w:r>
        <w:rPr>
          <w:rFonts w:ascii="@MingLiU" w:eastAsia="@MingLiU" w:cs="@MingLiU"/>
          <w:sz w:val="20"/>
          <w:szCs w:val="20"/>
        </w:rPr>
        <w:t xml:space="preserve">.  The arresting officer does not need to orally communicate this intent to the person being arrested.  </w:t>
      </w:r>
      <w:r>
        <w:rPr>
          <w:rFonts w:ascii="@MingLiU" w:eastAsia="@MingLiU" w:cs="@MingLiU"/>
          <w:sz w:val="20"/>
          <w:szCs w:val="20"/>
          <w:u w:val="single"/>
        </w:rPr>
        <w:t>State v. Sullivan</w:t>
      </w:r>
      <w:r>
        <w:rPr>
          <w:rFonts w:ascii="@MingLiU" w:eastAsia="@MingLiU" w:cs="@MingLiU"/>
          <w:sz w:val="20"/>
          <w:szCs w:val="20"/>
        </w:rPr>
        <w:t>, 65 Wn.2d 47, 395 P.2d 745 (1964).  Here the arrest occurred when the officer informed the aid car attendant that the defendant was under arrest</w:t>
      </w:r>
      <w:r>
        <w:rPr>
          <w:rFonts w:ascii="@MingLiU" w:eastAsia="@MingLiU" w:cs="@MingLiU"/>
          <w:b/>
          <w:bCs/>
          <w:sz w:val="20"/>
          <w:szCs w:val="20"/>
        </w:rPr>
        <w:t xml:space="preserve"> </w:t>
      </w:r>
      <w:r>
        <w:rPr>
          <w:rFonts w:ascii="@MingLiU" w:eastAsia="@MingLiU" w:cs="@MingLiU"/>
          <w:b/>
          <w:bCs/>
          <w:sz w:val="20"/>
          <w:szCs w:val="20"/>
          <w:u w:val="single"/>
        </w:rPr>
        <w:t>and was not to be allowed to leave</w:t>
      </w:r>
      <w:r>
        <w:rPr>
          <w:rFonts w:ascii="@MingLiU" w:eastAsia="@MingLiU" w:cs="@MingLiU"/>
          <w:sz w:val="20"/>
          <w:szCs w:val="20"/>
        </w:rPr>
        <w:t xml:space="preserve">.  </w:t>
      </w:r>
      <w:r>
        <w:rPr>
          <w:rFonts w:ascii="@MingLiU" w:eastAsia="@MingLiU" w:cs="@MingLiU"/>
          <w:b/>
          <w:bCs/>
          <w:sz w:val="20"/>
          <w:szCs w:val="20"/>
          <w:u w:val="single"/>
        </w:rPr>
        <w:t>The arrest was valid</w:t>
      </w:r>
      <w:r>
        <w:rPr>
          <w:rFonts w:ascii="@MingLiU" w:eastAsia="@MingLiU" w:cs="@MingLiU"/>
          <w:sz w:val="20"/>
          <w:szCs w:val="20"/>
        </w:rPr>
        <w:t xml:space="preserve">.  (Emphasis mine).  See also </w:t>
      </w:r>
      <w:r>
        <w:rPr>
          <w:rFonts w:ascii="@MingLiU" w:eastAsia="@MingLiU" w:cs="@MingLiU"/>
          <w:sz w:val="20"/>
          <w:szCs w:val="20"/>
          <w:u w:val="single"/>
        </w:rPr>
        <w:t>State v. McIntyre</w:t>
      </w:r>
      <w:r>
        <w:rPr>
          <w:rFonts w:ascii="@MingLiU" w:eastAsia="@MingLiU" w:cs="@MingLiU"/>
          <w:sz w:val="20"/>
          <w:szCs w:val="20"/>
        </w:rPr>
        <w:t>, 92 Wn.2d 620, 623, 600 P.2d 1009 (1979).</w:t>
      </w:r>
    </w:p>
    <w:p w14:paraId="2777DC52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</w:tabs>
        <w:ind w:left="-18"/>
        <w:jc w:val="both"/>
        <w:rPr>
          <w:rFonts w:ascii="@MingLiU" w:eastAsia="@MingLiU" w:cs="@MingLiU"/>
        </w:rPr>
      </w:pPr>
    </w:p>
    <w:p w14:paraId="3C4BFC26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</w:tabs>
        <w:spacing w:line="480" w:lineRule="auto"/>
        <w:ind w:left="-18" w:right="-18" w:firstLine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  <w:u w:val="single"/>
        </w:rPr>
        <w:t>State v. Byers</w:t>
      </w:r>
      <w:r>
        <w:rPr>
          <w:rFonts w:ascii="@MingLiU" w:eastAsia="@MingLiU" w:cs="@MingLiU"/>
        </w:rPr>
        <w:t xml:space="preserve">, 88 Wn.2d 1, 559 P.2d 1234 (1977) cited with approval in </w:t>
      </w:r>
      <w:r>
        <w:rPr>
          <w:rFonts w:ascii="@MingLiU" w:eastAsia="@MingLiU" w:cs="@MingLiU"/>
          <w:u w:val="single"/>
        </w:rPr>
        <w:t>State v. Dunn</w:t>
      </w:r>
      <w:r>
        <w:rPr>
          <w:rFonts w:ascii="@MingLiU" w:eastAsia="@MingLiU" w:cs="@MingLiU"/>
        </w:rPr>
        <w:t xml:space="preserve">,  22 </w:t>
      </w:r>
      <w:proofErr w:type="spellStart"/>
      <w:r>
        <w:rPr>
          <w:rFonts w:ascii="@MingLiU" w:eastAsia="@MingLiU" w:cs="@MingLiU"/>
        </w:rPr>
        <w:t>Wn.App</w:t>
      </w:r>
      <w:proofErr w:type="spellEnd"/>
      <w:r>
        <w:rPr>
          <w:rFonts w:ascii="@MingLiU" w:eastAsia="@MingLiU" w:cs="@MingLiU"/>
        </w:rPr>
        <w:t>. 362 (1979),  appears to be the modern case most cited in Washington as to what constitutes an arrest.  At page 5 the court states:</w:t>
      </w:r>
    </w:p>
    <w:p w14:paraId="4A1506C9" w14:textId="77777777" w:rsidR="007B3D08" w:rsidRDefault="007B3D08">
      <w:pPr>
        <w:widowControl/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  <w:tab w:val="left" w:pos="10062"/>
        </w:tabs>
        <w:spacing w:line="480" w:lineRule="auto"/>
        <w:ind w:left="-18" w:right="-18" w:firstLine="720"/>
        <w:jc w:val="both"/>
        <w:rPr>
          <w:rFonts w:ascii="@MingLiU" w:eastAsia="@MingLiU" w:cs="@MingLiU"/>
        </w:rPr>
        <w:sectPr w:rsidR="007B3D08">
          <w:pgSz w:w="12240" w:h="15840"/>
          <w:pgMar w:top="720" w:right="1008" w:bottom="720" w:left="1008" w:header="720" w:footer="720" w:gutter="0"/>
          <w:cols w:space="720"/>
          <w:noEndnote/>
        </w:sectPr>
      </w:pPr>
    </w:p>
    <w:p w14:paraId="23B223B7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right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 xml:space="preserve">A person is restrained or imprisoned when he is deprived of either liberty of movement or freedom to remain in the place of his lawful choice; and such restraint or imprisonment may be accomplished by physical force alone, or by threat of force, or by conduct reasonably implying that force will be used. </w:t>
      </w:r>
      <w:proofErr w:type="spellStart"/>
      <w:r>
        <w:rPr>
          <w:rFonts w:ascii="@MingLiU" w:eastAsia="@MingLiU" w:cs="@MingLiU"/>
          <w:sz w:val="20"/>
          <w:szCs w:val="20"/>
        </w:rPr>
        <w:t>Kilcup</w:t>
      </w:r>
      <w:proofErr w:type="spellEnd"/>
      <w:r>
        <w:rPr>
          <w:rFonts w:ascii="@MingLiU" w:eastAsia="@MingLiU" w:cs="@MingLiU"/>
          <w:sz w:val="20"/>
          <w:szCs w:val="20"/>
        </w:rPr>
        <w:t xml:space="preserve"> v. McManus, 64 Wn.2d 771, 777, 394 P.2d 375 (1964).  </w:t>
      </w:r>
      <w:r>
        <w:rPr>
          <w:rFonts w:ascii="@MingLiU" w:eastAsia="@MingLiU" w:cs="@MingLiU"/>
          <w:b/>
          <w:bCs/>
          <w:sz w:val="20"/>
          <w:szCs w:val="20"/>
          <w:u w:val="single"/>
        </w:rPr>
        <w:t>Appellants were under arrest from the moment they were not, and knew they were not free to go.</w:t>
      </w:r>
      <w:r>
        <w:rPr>
          <w:rFonts w:ascii="@MingLiU" w:eastAsia="@MingLiU" w:cs="@MingLiU"/>
          <w:sz w:val="20"/>
          <w:szCs w:val="20"/>
        </w:rPr>
        <w:t xml:space="preserve">  </w:t>
      </w:r>
      <w:r>
        <w:rPr>
          <w:rFonts w:ascii="@MingLiU" w:eastAsia="@MingLiU" w:cs="@MingLiU"/>
          <w:sz w:val="20"/>
          <w:szCs w:val="20"/>
          <w:u w:val="single"/>
        </w:rPr>
        <w:t>United States v. See</w:t>
      </w:r>
      <w:r>
        <w:rPr>
          <w:rFonts w:ascii="@MingLiU" w:eastAsia="@MingLiU" w:cs="@MingLiU"/>
          <w:sz w:val="20"/>
          <w:szCs w:val="20"/>
        </w:rPr>
        <w:t>, 505 F.2d 845, 855 (9</w:t>
      </w:r>
      <w:r>
        <w:rPr>
          <w:rFonts w:ascii="@MingLiU" w:eastAsia="@MingLiU" w:cs="@MingLiU"/>
          <w:sz w:val="20"/>
          <w:szCs w:val="20"/>
          <w:vertAlign w:val="superscript"/>
        </w:rPr>
        <w:t>th</w:t>
      </w:r>
      <w:r>
        <w:rPr>
          <w:rFonts w:ascii="@MingLiU" w:eastAsia="@MingLiU" w:cs="@MingLiU"/>
          <w:sz w:val="20"/>
          <w:szCs w:val="20"/>
        </w:rPr>
        <w:t xml:space="preserve"> Cir. 1974)</w:t>
      </w:r>
      <w:r>
        <w:rPr>
          <w:rFonts w:ascii="@MingLiU" w:eastAsia="@MingLiU" w:cs="@MingLiU"/>
          <w:b/>
          <w:bCs/>
          <w:sz w:val="20"/>
          <w:szCs w:val="20"/>
        </w:rPr>
        <w:t xml:space="preserve"> </w:t>
      </w:r>
      <w:r>
        <w:rPr>
          <w:rFonts w:ascii="@MingLiU" w:eastAsia="@MingLiU" w:cs="@MingLiU"/>
          <w:b/>
          <w:bCs/>
          <w:sz w:val="20"/>
          <w:szCs w:val="20"/>
        </w:rPr>
        <w:t>‘</w:t>
      </w:r>
      <w:r>
        <w:rPr>
          <w:rFonts w:ascii="@MingLiU" w:eastAsia="@MingLiU" w:cs="@MingLiU"/>
          <w:b/>
          <w:bCs/>
          <w:sz w:val="20"/>
          <w:szCs w:val="20"/>
        </w:rPr>
        <w:t>when the officers interrupted the two men and restricted their liberty of movement, the arrest for purposes of this case was complete</w:t>
      </w:r>
      <w:r>
        <w:rPr>
          <w:rFonts w:ascii="@MingLiU" w:eastAsia="@MingLiU" w:cs="@MingLiU"/>
          <w:sz w:val="20"/>
          <w:szCs w:val="20"/>
        </w:rPr>
        <w:t>’</w:t>
      </w:r>
      <w:r>
        <w:rPr>
          <w:rFonts w:ascii="@MingLiU" w:eastAsia="@MingLiU" w:cs="@MingLiU"/>
          <w:sz w:val="20"/>
          <w:szCs w:val="20"/>
        </w:rPr>
        <w:t xml:space="preserve"> </w:t>
      </w:r>
      <w:r>
        <w:rPr>
          <w:rFonts w:ascii="@MingLiU" w:eastAsia="@MingLiU" w:cs="@MingLiU"/>
          <w:sz w:val="20"/>
          <w:szCs w:val="20"/>
          <w:u w:val="single"/>
        </w:rPr>
        <w:t>Henry v. United States</w:t>
      </w:r>
      <w:r>
        <w:rPr>
          <w:rFonts w:ascii="@MingLiU" w:eastAsia="@MingLiU" w:cs="@MingLiU"/>
          <w:sz w:val="20"/>
          <w:szCs w:val="20"/>
        </w:rPr>
        <w:t>, (supra) at 103.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r>
        <w:rPr>
          <w:rFonts w:ascii="@MingLiU" w:eastAsia="@MingLiU" w:cs="@MingLiU"/>
          <w:sz w:val="20"/>
          <w:szCs w:val="20"/>
          <w:u w:val="single"/>
        </w:rPr>
        <w:t>State v. Byers</w:t>
      </w:r>
      <w:r>
        <w:rPr>
          <w:rFonts w:ascii="@MingLiU" w:eastAsia="@MingLiU" w:cs="@MingLiU"/>
          <w:sz w:val="20"/>
          <w:szCs w:val="20"/>
        </w:rPr>
        <w:t xml:space="preserve">, supra,  at page 5.  See also </w:t>
      </w:r>
      <w:r>
        <w:rPr>
          <w:rFonts w:ascii="@MingLiU" w:eastAsia="@MingLiU" w:cs="@MingLiU"/>
          <w:sz w:val="20"/>
          <w:szCs w:val="20"/>
          <w:u w:val="single"/>
        </w:rPr>
        <w:t xml:space="preserve">Moore v. Pay </w:t>
      </w:r>
      <w:r>
        <w:rPr>
          <w:rFonts w:ascii="@MingLiU" w:eastAsia="@MingLiU" w:cs="@MingLiU"/>
          <w:sz w:val="20"/>
          <w:szCs w:val="20"/>
          <w:u w:val="single"/>
        </w:rPr>
        <w:t>‘</w:t>
      </w:r>
      <w:r>
        <w:rPr>
          <w:rFonts w:ascii="@MingLiU" w:eastAsia="@MingLiU" w:cs="@MingLiU"/>
          <w:sz w:val="20"/>
          <w:szCs w:val="20"/>
          <w:u w:val="single"/>
        </w:rPr>
        <w:t>n Save</w:t>
      </w:r>
      <w:r>
        <w:rPr>
          <w:rFonts w:ascii="@MingLiU" w:eastAsia="@MingLiU" w:cs="@MingLiU"/>
          <w:sz w:val="20"/>
          <w:szCs w:val="20"/>
        </w:rPr>
        <w:t xml:space="preserve">, 20 </w:t>
      </w:r>
      <w:proofErr w:type="spellStart"/>
      <w:r>
        <w:rPr>
          <w:rFonts w:ascii="@MingLiU" w:eastAsia="@MingLiU" w:cs="@MingLiU"/>
          <w:sz w:val="20"/>
          <w:szCs w:val="20"/>
        </w:rPr>
        <w:t>Wn.App</w:t>
      </w:r>
      <w:proofErr w:type="spellEnd"/>
      <w:r>
        <w:rPr>
          <w:rFonts w:ascii="@MingLiU" w:eastAsia="@MingLiU" w:cs="@MingLiU"/>
          <w:sz w:val="20"/>
          <w:szCs w:val="20"/>
        </w:rPr>
        <w:t>. 482 (1978).</w:t>
      </w:r>
    </w:p>
    <w:p w14:paraId="0410DD08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@MingLiU" w:eastAsia="@MingLiU" w:cs="@MingLiU"/>
        </w:rPr>
      </w:pPr>
    </w:p>
    <w:p w14:paraId="15FC1C34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ind w:firstLine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</w:rPr>
        <w:t xml:space="preserve">In </w:t>
      </w:r>
      <w:r>
        <w:rPr>
          <w:rFonts w:ascii="@MingLiU" w:eastAsia="@MingLiU" w:cs="@MingLiU"/>
          <w:u w:val="single"/>
        </w:rPr>
        <w:t>State v. Sullivan</w:t>
      </w:r>
      <w:r>
        <w:rPr>
          <w:rFonts w:ascii="@MingLiU" w:eastAsia="@MingLiU" w:cs="@MingLiU"/>
        </w:rPr>
        <w:t>, 65 Wn.2d 47, 395 P.2d 745 (1964), the court observed at page 51:</w:t>
      </w:r>
    </w:p>
    <w:p w14:paraId="03D2B563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right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 xml:space="preserve">Perhaps it should be mentioned that as a general rule </w:t>
      </w:r>
      <w:r>
        <w:rPr>
          <w:rFonts w:ascii="@MingLiU" w:eastAsia="@MingLiU" w:cs="@MingLiU"/>
          <w:b/>
          <w:bCs/>
          <w:sz w:val="20"/>
          <w:szCs w:val="20"/>
          <w:u w:val="single"/>
        </w:rPr>
        <w:t>a person is placed under arrest when he is deprived of his liberty by an officer who intends to arrest him</w:t>
      </w:r>
      <w:r>
        <w:rPr>
          <w:rFonts w:ascii="@MingLiU" w:eastAsia="@MingLiU" w:cs="@MingLiU"/>
          <w:sz w:val="20"/>
          <w:szCs w:val="20"/>
        </w:rPr>
        <w:t xml:space="preserve">.  It is not always necessary for the officer to make a formal declaration of arrest.  See: 1 </w:t>
      </w:r>
      <w:proofErr w:type="spellStart"/>
      <w:r>
        <w:rPr>
          <w:rFonts w:ascii="@MingLiU" w:eastAsia="@MingLiU" w:cs="@MingLiU"/>
          <w:sz w:val="20"/>
          <w:szCs w:val="20"/>
        </w:rPr>
        <w:t>Varon</w:t>
      </w:r>
      <w:proofErr w:type="spellEnd"/>
      <w:r>
        <w:rPr>
          <w:rFonts w:ascii="@MingLiU" w:eastAsia="@MingLiU" w:cs="@MingLiU"/>
          <w:sz w:val="20"/>
          <w:szCs w:val="20"/>
        </w:rPr>
        <w:t xml:space="preserve">, Searches, Seizures and Immunities,  75 (1961);   Henry v. United States, 361 U.S. 98, 4 L.Ed.2d 134, 80 </w:t>
      </w:r>
      <w:proofErr w:type="spellStart"/>
      <w:r>
        <w:rPr>
          <w:rFonts w:ascii="@MingLiU" w:eastAsia="@MingLiU" w:cs="@MingLiU"/>
          <w:sz w:val="20"/>
          <w:szCs w:val="20"/>
        </w:rPr>
        <w:t>S.Ct</w:t>
      </w:r>
      <w:proofErr w:type="spellEnd"/>
      <w:r>
        <w:rPr>
          <w:rFonts w:ascii="@MingLiU" w:eastAsia="@MingLiU" w:cs="@MingLiU"/>
          <w:sz w:val="20"/>
          <w:szCs w:val="20"/>
        </w:rPr>
        <w:t xml:space="preserve">. 168 (1959) and United States v. Boston, 330 F.2d 937 (1964).  And; </w:t>
      </w:r>
    </w:p>
    <w:p w14:paraId="458536CF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@MingLiU" w:eastAsia="@MingLiU" w:cs="@MingLiU"/>
        </w:rPr>
      </w:pPr>
    </w:p>
    <w:p w14:paraId="2294849C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right="720"/>
        <w:jc w:val="both"/>
        <w:rPr>
          <w:rFonts w:ascii="@MingLiU" w:eastAsia="@MingLiU" w:cs="@MingLiU"/>
          <w:sz w:val="20"/>
          <w:szCs w:val="20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The stopping of an automobile by a highway patrol officer for inspection of a driver</w:t>
      </w:r>
      <w:r>
        <w:rPr>
          <w:rFonts w:ascii="@MingLiU" w:eastAsia="@MingLiU" w:cs="@MingLiU"/>
          <w:sz w:val="20"/>
          <w:szCs w:val="20"/>
        </w:rPr>
        <w:t>’</w:t>
      </w:r>
      <w:r>
        <w:rPr>
          <w:rFonts w:ascii="@MingLiU" w:eastAsia="@MingLiU" w:cs="@MingLiU"/>
          <w:sz w:val="20"/>
          <w:szCs w:val="20"/>
        </w:rPr>
        <w:t xml:space="preserve">s license, or for any other purpose where it is accomplished by the authority of the officers, is an </w:t>
      </w: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arrest.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r>
        <w:rPr>
          <w:rFonts w:ascii="@MingLiU" w:eastAsia="@MingLiU" w:cs="@MingLiU"/>
          <w:sz w:val="20"/>
          <w:szCs w:val="20"/>
          <w:u w:val="single"/>
        </w:rPr>
        <w:t>Robinson v. State</w:t>
      </w:r>
      <w:r>
        <w:rPr>
          <w:rFonts w:ascii="@MingLiU" w:eastAsia="@MingLiU" w:cs="@MingLiU"/>
          <w:sz w:val="20"/>
          <w:szCs w:val="20"/>
        </w:rPr>
        <w:t>, 198 S.W.2d 633, 635, 184 Tenn. 277</w:t>
      </w:r>
    </w:p>
    <w:p w14:paraId="36B00D3E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@MingLiU" w:eastAsia="@MingLiU" w:cs="@MingLiU"/>
          <w:sz w:val="20"/>
          <w:szCs w:val="20"/>
        </w:rPr>
      </w:pPr>
    </w:p>
    <w:p w14:paraId="1AF8E2AF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right="720"/>
        <w:jc w:val="both"/>
        <w:rPr>
          <w:rFonts w:ascii="@MingLiU" w:eastAsia="@MingLiU" w:cs="@MingLiU"/>
          <w:sz w:val="20"/>
          <w:szCs w:val="20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 xml:space="preserve">A motorist stopped by a traffic officer for a traffic offense would be considered </w:t>
      </w: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arrested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. . . even if the motorist was not specifically informed that he had been arrested.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r>
        <w:rPr>
          <w:rFonts w:ascii="@MingLiU" w:eastAsia="@MingLiU" w:cs="@MingLiU"/>
          <w:sz w:val="20"/>
          <w:szCs w:val="20"/>
          <w:u w:val="single"/>
        </w:rPr>
        <w:t xml:space="preserve">People ex rel. Winkle v. </w:t>
      </w:r>
      <w:proofErr w:type="spellStart"/>
      <w:r>
        <w:rPr>
          <w:rFonts w:ascii="@MingLiU" w:eastAsia="@MingLiU" w:cs="@MingLiU"/>
          <w:sz w:val="20"/>
          <w:szCs w:val="20"/>
          <w:u w:val="single"/>
        </w:rPr>
        <w:t>Bannan</w:t>
      </w:r>
      <w:proofErr w:type="spellEnd"/>
      <w:r>
        <w:rPr>
          <w:rFonts w:ascii="@MingLiU" w:eastAsia="@MingLiU" w:cs="@MingLiU"/>
          <w:sz w:val="20"/>
          <w:szCs w:val="20"/>
        </w:rPr>
        <w:t>, 125 N.W.2d 875, 879, 372 Mich. 292.</w:t>
      </w:r>
    </w:p>
    <w:p w14:paraId="591D2146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@MingLiU" w:eastAsia="@MingLiU" w:cs="@MingLiU"/>
          <w:sz w:val="20"/>
          <w:szCs w:val="20"/>
        </w:rPr>
      </w:pPr>
    </w:p>
    <w:p w14:paraId="4D926221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right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Any restraint, however slight, upon another</w:t>
      </w:r>
      <w:r>
        <w:rPr>
          <w:rFonts w:ascii="@MingLiU" w:eastAsia="@MingLiU" w:cs="@MingLiU"/>
          <w:sz w:val="20"/>
          <w:szCs w:val="20"/>
        </w:rPr>
        <w:t>’</w:t>
      </w:r>
      <w:r>
        <w:rPr>
          <w:rFonts w:ascii="@MingLiU" w:eastAsia="@MingLiU" w:cs="@MingLiU"/>
          <w:sz w:val="20"/>
          <w:szCs w:val="20"/>
        </w:rPr>
        <w:t xml:space="preserve">s liberty to come and go as one pleases, constitutes an </w:t>
      </w:r>
      <w:r>
        <w:rPr>
          <w:rFonts w:ascii="@MingLiU" w:eastAsia="@MingLiU" w:cs="@MingLiU"/>
          <w:sz w:val="20"/>
          <w:szCs w:val="20"/>
        </w:rPr>
        <w:t>“</w:t>
      </w:r>
      <w:r>
        <w:rPr>
          <w:rFonts w:ascii="@MingLiU" w:eastAsia="@MingLiU" w:cs="@MingLiU"/>
          <w:sz w:val="20"/>
          <w:szCs w:val="20"/>
        </w:rPr>
        <w:t>arrest.</w:t>
      </w:r>
      <w:r>
        <w:rPr>
          <w:rFonts w:ascii="@MingLiU" w:eastAsia="@MingLiU" w:cs="@MingLiU"/>
          <w:sz w:val="20"/>
          <w:szCs w:val="20"/>
        </w:rPr>
        <w:t>”</w:t>
      </w:r>
      <w:r>
        <w:rPr>
          <w:rFonts w:ascii="@MingLiU" w:eastAsia="@MingLiU" w:cs="@MingLiU"/>
          <w:sz w:val="20"/>
          <w:szCs w:val="20"/>
        </w:rPr>
        <w:t xml:space="preserve">  </w:t>
      </w:r>
      <w:proofErr w:type="spellStart"/>
      <w:r>
        <w:rPr>
          <w:rFonts w:ascii="@MingLiU" w:eastAsia="@MingLiU" w:cs="@MingLiU"/>
          <w:sz w:val="20"/>
          <w:szCs w:val="20"/>
          <w:u w:val="single"/>
        </w:rPr>
        <w:t>Swetnam</w:t>
      </w:r>
      <w:proofErr w:type="spellEnd"/>
      <w:r>
        <w:rPr>
          <w:rFonts w:ascii="@MingLiU" w:eastAsia="@MingLiU" w:cs="@MingLiU"/>
          <w:sz w:val="20"/>
          <w:szCs w:val="20"/>
          <w:u w:val="single"/>
        </w:rPr>
        <w:t xml:space="preserve"> v. W.F. Woolworth Co.</w:t>
      </w:r>
      <w:r>
        <w:rPr>
          <w:rFonts w:ascii="@MingLiU" w:eastAsia="@MingLiU" w:cs="@MingLiU"/>
          <w:sz w:val="20"/>
          <w:szCs w:val="20"/>
        </w:rPr>
        <w:t>, 318 P.2d 364, 366, 83 Ariz. 189.</w:t>
      </w:r>
    </w:p>
    <w:p w14:paraId="03CB74D1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@MingLiU" w:eastAsia="@MingLiU" w:cs="@MingLiU"/>
        </w:rPr>
      </w:pPr>
    </w:p>
    <w:p w14:paraId="2F4D2DD3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@MingLiU" w:eastAsia="@MingLiU" w:cs="@MingLiU"/>
        </w:rPr>
      </w:pPr>
    </w:p>
    <w:p w14:paraId="3EE3BE76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ind w:firstLine="720"/>
        <w:jc w:val="both"/>
        <w:rPr>
          <w:rFonts w:ascii="@MingLiU" w:eastAsia="@MingLiU" w:cs="@MingLiU"/>
        </w:rPr>
      </w:pPr>
      <w:r>
        <w:rPr>
          <w:rFonts w:ascii="@MingLiU" w:eastAsia="@MingLiU" w:cs="@MingLiU"/>
        </w:rPr>
        <w:t xml:space="preserve">See also </w:t>
      </w:r>
      <w:r>
        <w:rPr>
          <w:rFonts w:ascii="@MingLiU" w:eastAsia="@MingLiU" w:cs="@MingLiU"/>
          <w:u w:val="single"/>
        </w:rPr>
        <w:t>United States v. Boston</w:t>
      </w:r>
      <w:r>
        <w:rPr>
          <w:rFonts w:ascii="@MingLiU" w:eastAsia="@MingLiU" w:cs="@MingLiU"/>
        </w:rPr>
        <w:t xml:space="preserve">, 330 F.2d 937 (1964);  </w:t>
      </w:r>
      <w:r>
        <w:rPr>
          <w:rFonts w:ascii="@MingLiU" w:eastAsia="@MingLiU" w:cs="@MingLiU"/>
          <w:u w:val="single"/>
        </w:rPr>
        <w:t>United States v. Shelby</w:t>
      </w:r>
      <w:r>
        <w:rPr>
          <w:rFonts w:ascii="@MingLiU" w:eastAsia="@MingLiU" w:cs="@MingLiU"/>
        </w:rPr>
        <w:t xml:space="preserve">, 407 F.2d 241 (Ninth Circuit, 1969);  </w:t>
      </w:r>
      <w:r>
        <w:rPr>
          <w:rFonts w:ascii="@MingLiU" w:eastAsia="@MingLiU" w:cs="@MingLiU"/>
          <w:u w:val="single"/>
        </w:rPr>
        <w:t>United States v. Willis</w:t>
      </w:r>
      <w:r>
        <w:rPr>
          <w:rFonts w:ascii="@MingLiU" w:eastAsia="@MingLiU" w:cs="@MingLiU"/>
        </w:rPr>
        <w:t xml:space="preserve">, 248 </w:t>
      </w:r>
      <w:proofErr w:type="spellStart"/>
      <w:r>
        <w:rPr>
          <w:rFonts w:ascii="@MingLiU" w:eastAsia="@MingLiU" w:cs="@MingLiU"/>
        </w:rPr>
        <w:t>F.Supp</w:t>
      </w:r>
      <w:proofErr w:type="spellEnd"/>
      <w:r>
        <w:rPr>
          <w:rFonts w:ascii="@MingLiU" w:eastAsia="@MingLiU" w:cs="@MingLiU"/>
        </w:rPr>
        <w:t xml:space="preserve">. 265 (D.C. 1965); </w:t>
      </w:r>
      <w:r>
        <w:rPr>
          <w:rFonts w:ascii="@MingLiU" w:eastAsia="@MingLiU" w:cs="@MingLiU"/>
          <w:u w:val="single"/>
        </w:rPr>
        <w:t>Virgin Island v. Quinones</w:t>
      </w:r>
      <w:r>
        <w:rPr>
          <w:rFonts w:ascii="@MingLiU" w:eastAsia="@MingLiU" w:cs="@MingLiU"/>
        </w:rPr>
        <w:t xml:space="preserve">, 301 </w:t>
      </w:r>
      <w:proofErr w:type="spellStart"/>
      <w:r>
        <w:rPr>
          <w:rFonts w:ascii="@MingLiU" w:eastAsia="@MingLiU" w:cs="@MingLiU"/>
        </w:rPr>
        <w:t>F.Supp</w:t>
      </w:r>
      <w:proofErr w:type="spellEnd"/>
      <w:r>
        <w:rPr>
          <w:rFonts w:ascii="@MingLiU" w:eastAsia="@MingLiU" w:cs="@MingLiU"/>
        </w:rPr>
        <w:t xml:space="preserve">. 246 (D.V.I. 1969); </w:t>
      </w:r>
      <w:r>
        <w:rPr>
          <w:rFonts w:ascii="@MingLiU" w:eastAsia="@MingLiU" w:cs="@MingLiU"/>
          <w:u w:val="single"/>
        </w:rPr>
        <w:t>State v. Mallet</w:t>
      </w:r>
      <w:r>
        <w:rPr>
          <w:rFonts w:ascii="@MingLiU" w:eastAsia="@MingLiU" w:cs="@MingLiU"/>
        </w:rPr>
        <w:t xml:space="preserve">, 542 S.W. 2d 584; </w:t>
      </w:r>
      <w:proofErr w:type="spellStart"/>
      <w:r>
        <w:rPr>
          <w:rFonts w:ascii="@MingLiU" w:eastAsia="@MingLiU" w:cs="@MingLiU"/>
          <w:u w:val="single"/>
        </w:rPr>
        <w:t>Pullins</w:t>
      </w:r>
      <w:proofErr w:type="spellEnd"/>
      <w:r>
        <w:rPr>
          <w:rFonts w:ascii="@MingLiU" w:eastAsia="@MingLiU" w:cs="@MingLiU"/>
          <w:u w:val="single"/>
        </w:rPr>
        <w:t xml:space="preserve"> v. State</w:t>
      </w:r>
      <w:r>
        <w:rPr>
          <w:rFonts w:ascii="@MingLiU" w:eastAsia="@MingLiU" w:cs="@MingLiU"/>
        </w:rPr>
        <w:t xml:space="preserve">, 256 N.E. 2d 553, 556 (Sup.Ct. Ind., 1970); </w:t>
      </w:r>
      <w:r>
        <w:rPr>
          <w:rFonts w:ascii="@MingLiU" w:eastAsia="@MingLiU" w:cs="@MingLiU"/>
          <w:u w:val="single"/>
        </w:rPr>
        <w:t>Dillon v. State</w:t>
      </w:r>
      <w:r>
        <w:rPr>
          <w:rFonts w:ascii="@MingLiU" w:eastAsia="@MingLiU" w:cs="@MingLiU"/>
        </w:rPr>
        <w:t>, 275 N.E.2d 312 (</w:t>
      </w:r>
      <w:proofErr w:type="spellStart"/>
      <w:r>
        <w:rPr>
          <w:rFonts w:ascii="@MingLiU" w:eastAsia="@MingLiU" w:cs="@MingLiU"/>
        </w:rPr>
        <w:t>Sup.Ct.Ind</w:t>
      </w:r>
      <w:proofErr w:type="spellEnd"/>
      <w:r>
        <w:rPr>
          <w:rFonts w:ascii="@MingLiU" w:eastAsia="@MingLiU" w:cs="@MingLiU"/>
        </w:rPr>
        <w:t>., 1971);</w:t>
      </w:r>
      <w:r>
        <w:rPr>
          <w:rFonts w:ascii="@MingLiU" w:eastAsia="@MingLiU" w:cs="@MingLiU"/>
          <w:u w:val="single"/>
        </w:rPr>
        <w:t xml:space="preserve"> United States v. Strickler</w:t>
      </w:r>
      <w:r>
        <w:rPr>
          <w:rFonts w:ascii="@MingLiU" w:eastAsia="@MingLiU" w:cs="@MingLiU"/>
        </w:rPr>
        <w:t>, 490 F.2d 378 (9</w:t>
      </w:r>
      <w:r>
        <w:rPr>
          <w:rFonts w:ascii="@MingLiU" w:eastAsia="@MingLiU" w:cs="@MingLiU"/>
          <w:vertAlign w:val="superscript"/>
        </w:rPr>
        <w:t>th</w:t>
      </w:r>
      <w:r>
        <w:rPr>
          <w:rFonts w:ascii="@MingLiU" w:eastAsia="@MingLiU" w:cs="@MingLiU"/>
        </w:rPr>
        <w:t xml:space="preserve"> Cir. 1974); </w:t>
      </w:r>
      <w:r>
        <w:rPr>
          <w:rFonts w:ascii="@MingLiU" w:eastAsia="@MingLiU" w:cs="@MingLiU"/>
          <w:u w:val="single"/>
        </w:rPr>
        <w:t>Jackson v. United States</w:t>
      </w:r>
      <w:r>
        <w:rPr>
          <w:rFonts w:ascii="@MingLiU" w:eastAsia="@MingLiU" w:cs="@MingLiU"/>
        </w:rPr>
        <w:t>, 408 F.2d 1165,  1169 (8</w:t>
      </w:r>
      <w:r>
        <w:rPr>
          <w:rFonts w:ascii="@MingLiU" w:eastAsia="@MingLiU" w:cs="@MingLiU"/>
          <w:vertAlign w:val="superscript"/>
        </w:rPr>
        <w:t>th</w:t>
      </w:r>
      <w:r>
        <w:rPr>
          <w:rFonts w:ascii="@MingLiU" w:eastAsia="@MingLiU" w:cs="@MingLiU"/>
        </w:rPr>
        <w:t xml:space="preserve"> Cir. 1969);  </w:t>
      </w:r>
      <w:r>
        <w:rPr>
          <w:rFonts w:ascii="@MingLiU" w:eastAsia="@MingLiU" w:cs="@MingLiU"/>
          <w:u w:val="single"/>
        </w:rPr>
        <w:t>Presly v. State</w:t>
      </w:r>
      <w:r>
        <w:rPr>
          <w:rFonts w:ascii="@MingLiU" w:eastAsia="@MingLiU" w:cs="@MingLiU"/>
        </w:rPr>
        <w:t>, 75 Florida 434, 78 So. 532, LRA 1918 C. 975; 4 Wharton</w:t>
      </w:r>
      <w:r>
        <w:rPr>
          <w:rFonts w:ascii="@MingLiU" w:eastAsia="@MingLiU" w:cs="@MingLiU"/>
        </w:rPr>
        <w:t>’</w:t>
      </w:r>
      <w:r>
        <w:rPr>
          <w:rFonts w:ascii="@MingLiU" w:eastAsia="@MingLiU" w:cs="@MingLiU"/>
        </w:rPr>
        <w:t xml:space="preserve">s Criminal Procedure 281; and 4 Am </w:t>
      </w:r>
      <w:proofErr w:type="spellStart"/>
      <w:r>
        <w:rPr>
          <w:rFonts w:ascii="@MingLiU" w:eastAsia="@MingLiU" w:cs="@MingLiU"/>
        </w:rPr>
        <w:t>Jur</w:t>
      </w:r>
      <w:proofErr w:type="spellEnd"/>
      <w:r>
        <w:rPr>
          <w:rFonts w:ascii="@MingLiU" w:eastAsia="@MingLiU" w:cs="@MingLiU"/>
        </w:rPr>
        <w:t xml:space="preserve">. 5 defining what constitutes an </w:t>
      </w:r>
      <w:r>
        <w:rPr>
          <w:rFonts w:ascii="@MingLiU" w:eastAsia="@MingLiU" w:cs="@MingLiU"/>
        </w:rPr>
        <w:t>“</w:t>
      </w:r>
      <w:r>
        <w:rPr>
          <w:rFonts w:ascii="@MingLiU" w:eastAsia="@MingLiU" w:cs="@MingLiU"/>
        </w:rPr>
        <w:t>arrest.</w:t>
      </w:r>
      <w:r>
        <w:rPr>
          <w:rFonts w:ascii="@MingLiU" w:eastAsia="@MingLiU" w:cs="@MingLiU"/>
        </w:rPr>
        <w:t>”</w:t>
      </w:r>
    </w:p>
    <w:p w14:paraId="420E814B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rFonts w:ascii="@MingLiU" w:eastAsia="@MingLiU" w:cs="@MingLiU"/>
        </w:rPr>
      </w:pPr>
    </w:p>
    <w:p w14:paraId="4182FE93" w14:textId="77777777" w:rsidR="007B3D08" w:rsidRDefault="007B3D0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both"/>
        <w:rPr>
          <w:rFonts w:ascii="Segoe Print" w:hAnsi="Segoe Print" w:cs="Segoe Print"/>
        </w:rPr>
      </w:pPr>
      <w:r>
        <w:rPr>
          <w:rFonts w:ascii="@MingLiU" w:eastAsia="@MingLiU" w:cs="@MingLiU"/>
        </w:rPr>
        <w:t xml:space="preserve">For help, call Tribal Court Attorney </w:t>
      </w:r>
      <w:r w:rsidR="008A6EB3">
        <w:rPr>
          <w:rFonts w:ascii="@MingLiU" w:eastAsia="@MingLiU" w:cs="@MingLiU"/>
        </w:rPr>
        <w:t>Kurt Riggin</w:t>
      </w:r>
    </w:p>
    <w:sectPr w:rsidR="007B3D08" w:rsidSect="007B3D08">
      <w:type w:val="continuous"/>
      <w:pgSz w:w="12240" w:h="15840"/>
      <w:pgMar w:top="1440" w:right="990" w:bottom="1440" w:left="99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D08"/>
    <w:rsid w:val="003368CD"/>
    <w:rsid w:val="007B3D08"/>
    <w:rsid w:val="008A6EB3"/>
    <w:rsid w:val="0097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62DCA"/>
  <w15:docId w15:val="{9A76B176-62CE-2945-843F-E4B1A4C1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character" w:customStyle="1" w:styleId="Hypertext1">
    <w:name w:val="Hypertext1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4861</Characters>
  <Application>Microsoft Office Word</Application>
  <DocSecurity>0</DocSecurity>
  <Lines>40</Lines>
  <Paragraphs>11</Paragraphs>
  <ScaleCrop>false</ScaleCrop>
  <Company>Hewlett-Packard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Riggin</dc:creator>
  <cp:lastModifiedBy>Kurt Riggin</cp:lastModifiedBy>
  <cp:revision>2</cp:revision>
  <dcterms:created xsi:type="dcterms:W3CDTF">2011-12-18T07:36:00Z</dcterms:created>
  <dcterms:modified xsi:type="dcterms:W3CDTF">2011-12-18T07:36:00Z</dcterms:modified>
</cp:coreProperties>
</file>